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CC" w:rsidRPr="001214CC" w:rsidRDefault="001214CC" w:rsidP="001214C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Theme="majorHAnsi" w:hAnsiTheme="majorHAnsi" w:cs="Arial"/>
          <w:b/>
          <w:color w:val="000000"/>
        </w:rPr>
      </w:pPr>
      <w:r w:rsidRPr="001214CC">
        <w:rPr>
          <w:rFonts w:asciiTheme="majorHAnsi" w:hAnsiTheme="majorHAnsi" w:cs="Arial"/>
          <w:b/>
          <w:color w:val="000000"/>
        </w:rPr>
        <w:t>Załącznik nr 6 do SWZ</w:t>
      </w:r>
    </w:p>
    <w:p w:rsidR="001214CC" w:rsidRDefault="001214CC" w:rsidP="001214C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>OPIS PRZEDMIOTU ZAMÓWIENIA</w:t>
      </w:r>
    </w:p>
    <w:p w:rsidR="001214CC" w:rsidRDefault="001214CC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  <w:r w:rsidRPr="001214CC">
        <w:rPr>
          <w:rFonts w:asciiTheme="majorHAnsi" w:hAnsiTheme="majorHAnsi" w:cs="Arial"/>
          <w:b/>
          <w:color w:val="000000"/>
        </w:rPr>
        <w:t>Bezpieczeństwo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</w:rPr>
      </w:pPr>
      <w:r w:rsidRPr="001214CC">
        <w:rPr>
          <w:rFonts w:asciiTheme="majorHAnsi" w:hAnsiTheme="majorHAnsi" w:cs="Arial"/>
        </w:rPr>
        <w:t xml:space="preserve">Instalacje fotowoltaiczne jeżeli są wykonane poprawnie nie powinny zwiększać zagrożenia czy to pożarowego czy dla zdrowia i życia osób. Dla zwiększenia bezpieczeństwa beneficjentów projektowane instalacje wyposażone są w urządzenia przeciwpożarowe, które spełniają normę </w:t>
      </w:r>
      <w:r w:rsidRPr="001214CC">
        <w:rPr>
          <w:rFonts w:asciiTheme="majorHAnsi" w:hAnsiTheme="majorHAnsi" w:cs="Arial"/>
          <w:b/>
        </w:rPr>
        <w:t>IEC 60947.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214CC">
        <w:rPr>
          <w:rFonts w:asciiTheme="majorHAnsi" w:hAnsiTheme="majorHAnsi" w:cs="Arial"/>
        </w:rPr>
        <w:t>Projektowany system przeciwpożarowy odłącza napięcie po stronie DC w taki sposób, aby w miejscu posadowienia modułów PV napięcie na kablach fotowoltaicznych było napięciem bezpiecznym (≤60 V DC). Zapewnienie bezpiecznego napięcia umożliwia Straży Pożarnej podjęcie akcji gaśniczej w przypadku zaistnienia pożaru. System ppoż. powinien załączać się automatycznie po zaniku napięcia zasilającego z sieci zawodowej bądź zdalnie, poprzez wciśnięcie awaryjnego przycisku ppoż., który powinien znajdować się obok wyjścia z budynku</w:t>
      </w:r>
      <w:r w:rsidRPr="001214CC">
        <w:rPr>
          <w:rFonts w:asciiTheme="majorHAnsi" w:hAnsiTheme="majorHAnsi"/>
        </w:rPr>
        <w:t>. Dopuszczalne jest zintegrowanie systemu ppoż. Instalacji fotowoltaicznej z istniejącym wyłącznikiem ppoż.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1214CC">
        <w:rPr>
          <w:rFonts w:asciiTheme="majorHAnsi" w:hAnsiTheme="majorHAnsi" w:cs="Arial"/>
          <w:b/>
          <w:bCs/>
          <w:i/>
          <w:iCs/>
          <w:color w:val="000000"/>
        </w:rPr>
        <w:t>1.4 Architektura Systemu Fotowoltaicznego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Moduł monokrystaliczny - 330Wp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Moduł wykonany w technologii MWT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 xml:space="preserve">Minimalna mocy modułu w warunkach STC: 330 </w:t>
      </w:r>
      <w:proofErr w:type="spellStart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Wp</w:t>
      </w:r>
      <w:proofErr w:type="spellEnd"/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Dodatnia tolerancja mocy modułów: 0 / +5 W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Minimalna sprawność modułu w warunkach STC: &gt; 20,00 %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Współczynnik wypełnienia dla modułu w warunkach STC: &gt;0,77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Nominalna temperatura pracy ogniwa (NOCT): ≥ 43oC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Współczynniki temperaturowe modułu: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 xml:space="preserve">Współczynnik temperaturowy </w:t>
      </w:r>
      <w:proofErr w:type="spellStart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Isc</w:t>
      </w:r>
      <w:proofErr w:type="spellEnd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: ≤ +0,06 %/K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 xml:space="preserve">Współczynnik temperaturowy </w:t>
      </w:r>
      <w:proofErr w:type="spellStart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Voc</w:t>
      </w:r>
      <w:proofErr w:type="spellEnd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: ≥ -0,30 %/K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 xml:space="preserve">Współczynnik temperaturowy </w:t>
      </w:r>
      <w:proofErr w:type="spellStart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Pmax</w:t>
      </w:r>
      <w:proofErr w:type="spellEnd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: ≥ -0,36 %/K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Maks. temperatura robocza: -40°C do +85°C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Maksymalne napięcie systemu: ≥1000V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Minimalna ilość diod bocznikujących: 3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Waga modułu: &lt; 21 kg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Obciążenie statyczne / obciążenie dynamiczne: ≥5400 Pa / ≥2400Pa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Stopień ochrony puszki przyłączeniowej i konektorów: ≥IP67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Typ złącza wtykowego: MC4 lub inne kompatybilne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STOSOWANE MATERIAŁY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Typ ogniw: monokrystaliczne PERC lub PERL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Szyba frontowa: 3,2mm szkło hartowane z warstwą antyrefleksyjną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Rama modułu: wykonana z glinu anodowanego, w kolorze srebrnym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Laminat: kolor biały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CERTYFIKATY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 xml:space="preserve">Deklaracja zgodności CE, IEC 61215, IEC 61730, deklaracja pozytywnego wyniku testu </w:t>
      </w:r>
      <w:proofErr w:type="spellStart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anty-PID</w:t>
      </w:r>
      <w:proofErr w:type="spellEnd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, klasa stosowania A (wg normy 61730), klasa odporności pożarowej C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Gwarancja producenta na wady ukryte minimum 12 lat.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Gwarancja producenta na moc modułu: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proofErr w:type="spellStart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max</w:t>
      </w:r>
      <w:proofErr w:type="spellEnd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. 3% spadek w pierwszym roku i co najmniej 80% mocy początkowej po 25 latach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Ponadto wykonawca zobowiązany jest przedstawić do Zamawiającego instrukcję montażu i obsługi modułów w języku polskim.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Inwerter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 xml:space="preserve">W instalacji należy zastosować falowniki mające na celu przetworzenie prądu stałego z wyjścia paneli na prąd przemienny sieci dystrybucyjnej. Zastosowane falowniki muszą charakteryzować się stopniem ochrony minimum IP65, uwzględniające należytą odporność na warunki atmosferyczne (temperatura pracy -20⁰C do +50 ⁰C) oraz wysokie bezpieczeństwo dla użytkowników. Inwertery winny zostać wyposażone w system pomiaru izolacji w części DC, pozwalający eliminować wszelkie uszkodzenia w okablowaniu paneli jak również w samych panelach dając wysokie bezpieczeństwo użytkowania oraz zabezpieczenie przed błędną polaryzacją modułów. Ponadto inwerter powinien </w:t>
      </w:r>
      <w:proofErr w:type="spellStart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poziadać</w:t>
      </w:r>
      <w:proofErr w:type="spellEnd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 xml:space="preserve"> monitoring parametrów sieci, zabezpieczenie przed pracą wyspową oraz być przystosowany do pracy z polską siecią dystrybucyjną (spełniać normę EN 50438 oraz posiadać deklarację zgodności lub certyfikat NC </w:t>
      </w:r>
      <w:proofErr w:type="spellStart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RfG</w:t>
      </w:r>
      <w:proofErr w:type="spellEnd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).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 xml:space="preserve">Dla instalacji fotowoltaicznych o mocy 49,83 </w:t>
      </w:r>
      <w:proofErr w:type="spellStart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kWp</w:t>
      </w:r>
      <w:proofErr w:type="spellEnd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 xml:space="preserve"> dobrano system trzyfazowy o poniższych parametrach: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Minimalna moc wyjściowa AC: 42 000W,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Nominalne napięcie sieci: 230V/400V,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Sprawność europejska: min. 97%,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Architektura instalacji umożliwia maksymalizowanie ilości produkowanej energii dla każdej pary modułów z osobna. Należy tak dobrać system, aby maksymalizował on wydajność instalacji fotowoltaicznej niezależnie od jej ułożenia poprzez osobne zarządzanie i sterowanie każdą parą modułów niezależnie.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 xml:space="preserve">Wyposażony w rozłącznik DC (lub rozwiązanie równoważne), złącze RS 485 oraz złącze </w:t>
      </w:r>
      <w:proofErr w:type="spellStart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ethernet</w:t>
      </w:r>
      <w:proofErr w:type="spellEnd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 xml:space="preserve"> lub </w:t>
      </w:r>
      <w:proofErr w:type="spellStart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wifii</w:t>
      </w:r>
      <w:proofErr w:type="spellEnd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, aby umożliwić połączenie z siecią internetową. Wykonawca podłączy falowniki do sieci internetowej. Dostęp do sieci internetowej zapewni Zamawiający.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 xml:space="preserve">Dopuszcza się zastosowanie falowników bez możliwości bezpośredniego połączenia z </w:t>
      </w:r>
      <w:proofErr w:type="spellStart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internetem</w:t>
      </w:r>
      <w:proofErr w:type="spellEnd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 xml:space="preserve">. Wówczas należy zastosować </w:t>
      </w:r>
      <w:proofErr w:type="spellStart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datalogger</w:t>
      </w:r>
      <w:proofErr w:type="spellEnd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 xml:space="preserve"> lub inne urządzenie, które pozwoli na monitorowanie pracy instalacji.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Gwarancja na inwertery musi wynosić co najmniej 7 lat, aby zapewnić bezawaryjną i wydajną pracę systemu dla Beneficjenta, bez konieczności ponoszenia dodatkowych opłat.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Inwerter należy zainstalować zgodnie z wytycznymi instrukcji montażowej zwracając, w szczególności uwagę na odległości od sąsiednich urządzeń.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 xml:space="preserve">Inwerter zgodnie z instrukcją </w:t>
      </w:r>
      <w:proofErr w:type="spellStart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IRiESD</w:t>
      </w:r>
      <w:proofErr w:type="spellEnd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 xml:space="preserve"> musi posiadać niezbędne zabezpieczenia: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 xml:space="preserve">- zabezpieczenia </w:t>
      </w:r>
      <w:proofErr w:type="spellStart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nadprądowe</w:t>
      </w:r>
      <w:proofErr w:type="spellEnd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,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Palatino Linotype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- zabezpieczenia pod- i nadnapięciowe,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 xml:space="preserve">- zabezpieczenie skutków od pracy </w:t>
      </w:r>
      <w:proofErr w:type="spellStart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niepełnofazowej</w:t>
      </w:r>
      <w:proofErr w:type="spellEnd"/>
      <w:r w:rsidRPr="001214CC">
        <w:rPr>
          <w:rFonts w:asciiTheme="majorHAnsi" w:hAnsiTheme="majorHAnsi" w:cs="Palatino Linotype,BoldItalic"/>
          <w:b/>
          <w:bCs/>
          <w:i/>
          <w:iCs/>
          <w:color w:val="000000"/>
        </w:rPr>
        <w:t>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Arial"/>
          <w:b/>
          <w:bCs/>
          <w:i/>
          <w:iCs/>
          <w:color w:val="000000"/>
        </w:rPr>
        <w:t xml:space="preserve">1.4.3 </w:t>
      </w:r>
      <w:r w:rsidRPr="001214CC">
        <w:rPr>
          <w:rFonts w:asciiTheme="majorHAnsi" w:hAnsiTheme="majorHAnsi" w:cs="Arial,BoldItalic"/>
          <w:b/>
          <w:bCs/>
          <w:i/>
          <w:iCs/>
          <w:color w:val="000000"/>
        </w:rPr>
        <w:t>Konstrukcja montażowa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BoldItalic"/>
          <w:b/>
          <w:bCs/>
          <w:i/>
          <w:i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B62F62" w:rsidRPr="001214CC" w:rsidRDefault="00B62F62" w:rsidP="001214CC">
      <w:pPr>
        <w:jc w:val="both"/>
        <w:rPr>
          <w:rFonts w:asciiTheme="majorHAnsi" w:hAnsiTheme="majorHAnsi" w:cs="Arial"/>
          <w:b/>
          <w:color w:val="000000"/>
        </w:rPr>
      </w:pPr>
      <w:r w:rsidRPr="001214CC">
        <w:rPr>
          <w:rFonts w:asciiTheme="majorHAnsi" w:hAnsiTheme="majorHAnsi" w:cs="Arial"/>
          <w:b/>
          <w:color w:val="000000"/>
        </w:rPr>
        <w:t>System montażowy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1214CC">
        <w:rPr>
          <w:rFonts w:asciiTheme="majorHAnsi" w:hAnsiTheme="majorHAnsi" w:cs="Arial"/>
          <w:color w:val="000000"/>
        </w:rPr>
        <w:t>System montażowy, jednostronny (nie dopuszcza się stosowania systemów montażowych tzw. Wschód-zachód) o kącie nachylenia modułów względem powierzchni gruntu nie mniejszym niż 25 °.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1214CC">
        <w:rPr>
          <w:rFonts w:asciiTheme="majorHAnsi" w:hAnsiTheme="majorHAnsi" w:cs="Arial"/>
          <w:color w:val="000000"/>
        </w:rPr>
        <w:lastRenderedPageBreak/>
        <w:t>System montażowy wykonać w technologii wbijanej do gruntu. Ze względu na specyfikę terenu, przed wprowadzeniem ciężkiego sprzętu na teren oczyszczalni konieczne jest sprawdzenie gruntu i jego nośności, aby nie uszkodzić istniejących podziemnych instalacji. Podpory systemu montażowego Wykonawca rozmieści w taki sposób, aby nie uszkodzić instalacji podziemnych istniejących na terenie Oczyszczalni.  Należy również zapewnić odpowiednią odległość systemu montażowego i modułów od przeszkód mogących powodować zacienienie, w tym rzędów modułów poprzedzających się wzajemnie.</w:t>
      </w:r>
      <w:r w:rsidRPr="001214CC">
        <w:rPr>
          <w:rFonts w:asciiTheme="majorHAnsi" w:hAnsiTheme="majorHAnsi" w:cs="Arial"/>
          <w:color w:val="000000"/>
        </w:rPr>
        <w:br/>
        <w:t>System montażowy wykonany w wersji na 2 rzędy modułów pionowo lub 4 rzędy poziomo. Nie jest dopuszczalne stosowanie systemów montażowych, których wysokość w najwyższym punkcie przekraczać będzie wysokość 2,5m ponad poziom gruntu.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1214CC">
        <w:rPr>
          <w:rFonts w:asciiTheme="majorHAnsi" w:hAnsiTheme="majorHAnsi" w:cs="Arial"/>
          <w:color w:val="000000"/>
        </w:rPr>
        <w:t>Należy stosować stypizowane konstrukcje montażowe wykonane z glinu i stali ocynkowanej lub zabezpieczonej w inny sposób przed korozją. Wymagana minimalna 10-letnia gwarancja producenta na system montażowy. Konstrukcje montażowe powinny posiadać odpowiednie certyfikaty, które potwierdzają ich przydatność do użycia podczas montażu instalacji fotowoltaicznych.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1214CC">
        <w:rPr>
          <w:rFonts w:asciiTheme="majorHAnsi" w:hAnsiTheme="majorHAnsi" w:cs="Arial"/>
          <w:color w:val="000000"/>
        </w:rPr>
        <w:t>Dokręcać przy pomocy klucza dynamometrycznego.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1214CC">
        <w:rPr>
          <w:rFonts w:asciiTheme="majorHAnsi" w:hAnsiTheme="majorHAnsi" w:cs="Arial"/>
          <w:color w:val="000000"/>
        </w:rPr>
        <w:t>Moment dokręcania zgodny z instrukcją montażu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1214CC">
        <w:rPr>
          <w:rFonts w:asciiTheme="majorHAnsi" w:hAnsiTheme="majorHAnsi" w:cs="Arial"/>
          <w:color w:val="000000"/>
        </w:rPr>
        <w:t>Mocowanie modułu przy pomocy klem montażowych wykonanych z glinu.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1214CC">
        <w:rPr>
          <w:rFonts w:asciiTheme="majorHAnsi" w:hAnsiTheme="majorHAnsi" w:cs="Arial"/>
          <w:b/>
          <w:bCs/>
          <w:i/>
          <w:iCs/>
          <w:color w:val="000000"/>
        </w:rPr>
        <w:t>1.4.4 Okablowanie DC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1214CC">
        <w:rPr>
          <w:rFonts w:asciiTheme="majorHAnsi" w:hAnsiTheme="majorHAnsi" w:cs="Arial"/>
          <w:color w:val="000000"/>
        </w:rPr>
        <w:t>Przewody odporne na UV, ozon, warunki atmosferyczne oraz hydrolizę dla napięcia stałego DC 1000V, w podwójnej izolacji krótkotrwale odporne na bardzo wysoką temp. Izolacja zewnętrzna odporna na przetarcia i uszkodzenia. Nadmiary w/w. przewodów przymocować do konstrukcji aluminiowej za pomocą opasek odpornych na promieniowanie UV oraz szkodliwe czynniki atmosferyczne. Poza obszarem konstrukcji montażowej, na dachu płaskim okablowanie należy prowadzić w korytach stalowych. Trasa kablowa wewnątrz budynku powinna być poprowadzona w korytach lub rurach elektroinstalacyjnych wykonanych z tworzywa. Trasę kablową należy prowadzić w taki sposób, aby pole indukcyjne przewodów DC było jak najmniejsze. Należy również pamiętać o tym, że przewód uziemiający oddziałując z kablami fotowoltaicznymi również może wytwarzać pole indukcyjne i powinien być prowadzony razem z kablami zasilającymi.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1214CC">
        <w:rPr>
          <w:rFonts w:asciiTheme="majorHAnsi" w:hAnsiTheme="majorHAnsi" w:cs="Arial"/>
          <w:noProof/>
          <w:color w:val="000000"/>
          <w:lang w:eastAsia="pl-PL"/>
        </w:rPr>
        <w:drawing>
          <wp:inline distT="0" distB="0" distL="0" distR="0">
            <wp:extent cx="5188689" cy="1859508"/>
            <wp:effectExtent l="0" t="0" r="0" b="7620"/>
            <wp:docPr id="4" name="Picture 4" descr="C:\Users\admin\Documents\zdjecia książk\pole pod moduł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zdjecia książk\pole pod moduł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092" cy="186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1214CC">
        <w:rPr>
          <w:rFonts w:asciiTheme="majorHAnsi" w:hAnsiTheme="majorHAnsi" w:cs="Arial"/>
          <w:color w:val="000000"/>
        </w:rPr>
        <w:br/>
        <w:t xml:space="preserve">Wszystkie połączenia między modułami wykonać za pomocą złączy dedykowanych instalacjom fotowoltaicznym. Dopuszczalne jest łączenie ze sobą złączy TYLKO tego samego typu i tego samego producenta! Przekroje przewodów fotowoltaicznych należy dobrać w taki sposób, aby zapewniający spadek napięcia DC &lt;1%. 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1214CC">
        <w:rPr>
          <w:rFonts w:asciiTheme="majorHAnsi" w:hAnsiTheme="majorHAnsi" w:cs="Arial"/>
          <w:b/>
          <w:bCs/>
          <w:i/>
          <w:iCs/>
          <w:color w:val="000000"/>
        </w:rPr>
        <w:lastRenderedPageBreak/>
        <w:t>1.5 Instalacje aparatury kontrolno pomiarowej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1214CC">
        <w:rPr>
          <w:rFonts w:asciiTheme="majorHAnsi" w:hAnsiTheme="majorHAnsi" w:cs="Arial"/>
          <w:color w:val="000000"/>
        </w:rPr>
        <w:t>Wykonawca dokona zgłoszenia do OSD wykonaną instalację fotowoltaiczną, wraz z certyfikatami i kartami paneli fotowoltaicznych, inwertera, badaniem wyższych harmonicznych generatora, oraz innymi wymaganymi przez Dystrybutora dokumentami, które są niezbędne do podłączenia instalacji PV do sieci energetycznej.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i/>
          <w:color w:val="000000"/>
        </w:rPr>
      </w:pPr>
      <w:r w:rsidRPr="001214CC">
        <w:rPr>
          <w:rFonts w:asciiTheme="majorHAnsi" w:hAnsiTheme="majorHAnsi" w:cs="Arial"/>
          <w:b/>
          <w:i/>
          <w:color w:val="000000"/>
        </w:rPr>
        <w:t>1.6 System monitorowania pracy instalacji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B62F62" w:rsidRPr="001214CC" w:rsidRDefault="00B62F62" w:rsidP="001214CC">
      <w:pPr>
        <w:pStyle w:val="Default"/>
        <w:jc w:val="both"/>
        <w:rPr>
          <w:rFonts w:asciiTheme="majorHAnsi" w:hAnsiTheme="majorHAnsi" w:cs="Arial"/>
          <w:sz w:val="22"/>
          <w:szCs w:val="22"/>
        </w:rPr>
      </w:pPr>
      <w:r w:rsidRPr="001214CC">
        <w:rPr>
          <w:rFonts w:asciiTheme="majorHAnsi" w:hAnsiTheme="majorHAnsi" w:cs="Arial"/>
          <w:sz w:val="22"/>
          <w:szCs w:val="22"/>
        </w:rPr>
        <w:t>System fotowoltaiczny należy wyposażyć w instalację monitorującą parametry jego pracy po stronie DC i AC. Zakres monitorowanych parametrów uwzględnia: pomiar mocy, i napięcia każdego z zabudowanych modułów fotowoltaicznych z osobna, oraz ilość produkowanej energii po stronie AC. System monitorowania powinien umożliwiać również sprawdzanie i monitorowanie zużycia każdego obiektu, mieć możliwość wykreślania charakterystyk dotyczących ilość zużytej energii w budynku, ilości oddanej energii do sieci oraz ilości energii pobranej z sieci energetycznej. Urządzenia monitorujące pracę systemu powinny mieć możliwość komunikacji z dedykowanym serwerem, na którym zmierzone dane zostaną zapisane, poddane obróbce a następnie udostępnione za pośrednictwem Internetu.</w:t>
      </w:r>
    </w:p>
    <w:p w:rsidR="00B62F62" w:rsidRPr="001214CC" w:rsidRDefault="00B62F62" w:rsidP="001214CC">
      <w:pPr>
        <w:pStyle w:val="Default"/>
        <w:jc w:val="both"/>
        <w:rPr>
          <w:rFonts w:asciiTheme="majorHAnsi" w:hAnsiTheme="majorHAnsi" w:cs="Arial"/>
          <w:sz w:val="22"/>
          <w:szCs w:val="22"/>
        </w:rPr>
      </w:pPr>
    </w:p>
    <w:p w:rsidR="00B62F62" w:rsidRPr="001214CC" w:rsidRDefault="00B62F62" w:rsidP="001214CC">
      <w:pPr>
        <w:pStyle w:val="Default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1214CC">
        <w:rPr>
          <w:rFonts w:asciiTheme="majorHAnsi" w:hAnsiTheme="majorHAnsi" w:cs="Arial"/>
          <w:color w:val="auto"/>
          <w:sz w:val="22"/>
          <w:szCs w:val="22"/>
        </w:rPr>
        <w:t xml:space="preserve">Scentralizowane zarządzanie i monitorowanie systemem fotowoltaicznym powinno odbywać się przez portal, poprzez który operatorzy instalacji i instalatorzy muszą mieć dostęp do kluczowych danych w dowolnym momencie. Wstępnie skonfigurowane standardowe dane mogą być łatwo dostosowane lub uzupełniane. </w:t>
      </w:r>
    </w:p>
    <w:p w:rsidR="00B62F62" w:rsidRPr="001214CC" w:rsidRDefault="00B62F62" w:rsidP="001214CC">
      <w:pPr>
        <w:pStyle w:val="Default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B62F62" w:rsidRPr="001214CC" w:rsidRDefault="00B62F62" w:rsidP="001214CC">
      <w:pPr>
        <w:pStyle w:val="Default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1214CC">
        <w:rPr>
          <w:rFonts w:asciiTheme="majorHAnsi" w:hAnsiTheme="majorHAnsi" w:cs="Arial"/>
          <w:color w:val="auto"/>
          <w:sz w:val="22"/>
          <w:szCs w:val="22"/>
        </w:rPr>
        <w:t xml:space="preserve">Wymogi dotyczące komunikacji i wizualizacji: </w:t>
      </w:r>
    </w:p>
    <w:p w:rsidR="00B62F62" w:rsidRPr="001214CC" w:rsidRDefault="00B62F62" w:rsidP="001214CC">
      <w:pPr>
        <w:pStyle w:val="Default"/>
        <w:spacing w:after="383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1214CC">
        <w:rPr>
          <w:rFonts w:asciiTheme="majorHAnsi" w:hAnsiTheme="majorHAnsi" w:cs="Arial"/>
          <w:color w:val="auto"/>
          <w:sz w:val="22"/>
          <w:szCs w:val="22"/>
        </w:rPr>
        <w:t xml:space="preserve">a) powinien zapewnić pełny zdalny i lokalny dostęp dla użytkownika, </w:t>
      </w:r>
    </w:p>
    <w:p w:rsidR="00B62F62" w:rsidRPr="001214CC" w:rsidRDefault="00B62F62" w:rsidP="001214CC">
      <w:pPr>
        <w:pStyle w:val="Default"/>
        <w:spacing w:after="383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1214CC">
        <w:rPr>
          <w:rFonts w:asciiTheme="majorHAnsi" w:hAnsiTheme="majorHAnsi" w:cs="Arial"/>
          <w:color w:val="auto"/>
          <w:sz w:val="22"/>
          <w:szCs w:val="22"/>
        </w:rPr>
        <w:t xml:space="preserve">b) powinien zapewnić rejestrację i archiwizację podstawowych parametrów elektrycznych: moc, napięcie, prąd przez przynajmniej 60 miesięcy, </w:t>
      </w:r>
    </w:p>
    <w:p w:rsidR="00B62F62" w:rsidRPr="001214CC" w:rsidRDefault="00B62F62" w:rsidP="001214CC">
      <w:pPr>
        <w:pStyle w:val="Default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1214CC">
        <w:rPr>
          <w:rFonts w:asciiTheme="majorHAnsi" w:hAnsiTheme="majorHAnsi" w:cs="Arial"/>
          <w:color w:val="auto"/>
          <w:sz w:val="22"/>
          <w:szCs w:val="22"/>
        </w:rPr>
        <w:t xml:space="preserve">c) sygnał powinien być podany stronę </w:t>
      </w:r>
      <w:proofErr w:type="spellStart"/>
      <w:r w:rsidRPr="001214CC">
        <w:rPr>
          <w:rFonts w:asciiTheme="majorHAnsi" w:hAnsiTheme="majorHAnsi" w:cs="Arial"/>
          <w:color w:val="auto"/>
          <w:sz w:val="22"/>
          <w:szCs w:val="22"/>
        </w:rPr>
        <w:t>www</w:t>
      </w:r>
      <w:proofErr w:type="spellEnd"/>
      <w:r w:rsidRPr="001214CC">
        <w:rPr>
          <w:rFonts w:asciiTheme="majorHAnsi" w:hAnsiTheme="majorHAnsi" w:cs="Arial"/>
          <w:color w:val="auto"/>
          <w:sz w:val="22"/>
          <w:szCs w:val="22"/>
        </w:rPr>
        <w:t xml:space="preserve">. </w:t>
      </w:r>
    </w:p>
    <w:p w:rsidR="00B62F62" w:rsidRPr="001214CC" w:rsidRDefault="00B62F62" w:rsidP="001214CC">
      <w:pPr>
        <w:pStyle w:val="Default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B62F62" w:rsidRPr="001214CC" w:rsidRDefault="00B62F62" w:rsidP="001214CC">
      <w:pPr>
        <w:pStyle w:val="Default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1214CC">
        <w:rPr>
          <w:rFonts w:asciiTheme="majorHAnsi" w:hAnsiTheme="majorHAnsi" w:cs="Arial"/>
          <w:color w:val="auto"/>
          <w:sz w:val="22"/>
          <w:szCs w:val="22"/>
        </w:rPr>
        <w:t>d) Powinien zapewniać prezentację danych dotyczących ilości wyprodukowanej energii w poniższych przedziałach czasowych:</w:t>
      </w:r>
    </w:p>
    <w:p w:rsidR="00B62F62" w:rsidRPr="001214CC" w:rsidRDefault="00B62F62" w:rsidP="001214CC">
      <w:pPr>
        <w:pStyle w:val="Default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1214CC">
        <w:rPr>
          <w:rFonts w:asciiTheme="majorHAnsi" w:hAnsiTheme="majorHAnsi" w:cs="Arial"/>
          <w:color w:val="auto"/>
          <w:sz w:val="22"/>
          <w:szCs w:val="22"/>
        </w:rPr>
        <w:t>- moc chwilowa,</w:t>
      </w:r>
    </w:p>
    <w:p w:rsidR="00B62F62" w:rsidRPr="001214CC" w:rsidRDefault="00B62F62" w:rsidP="001214CC">
      <w:pPr>
        <w:pStyle w:val="Default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1214CC">
        <w:rPr>
          <w:rFonts w:asciiTheme="majorHAnsi" w:hAnsiTheme="majorHAnsi" w:cs="Arial"/>
          <w:color w:val="auto"/>
          <w:sz w:val="22"/>
          <w:szCs w:val="22"/>
        </w:rPr>
        <w:t>- ilość wyprodukowanej energii w ciągu dnia,</w:t>
      </w:r>
    </w:p>
    <w:p w:rsidR="00B62F62" w:rsidRPr="001214CC" w:rsidRDefault="00B62F62" w:rsidP="001214CC">
      <w:pPr>
        <w:pStyle w:val="Default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1214CC">
        <w:rPr>
          <w:rFonts w:asciiTheme="majorHAnsi" w:hAnsiTheme="majorHAnsi" w:cs="Arial"/>
          <w:color w:val="auto"/>
          <w:sz w:val="22"/>
          <w:szCs w:val="22"/>
        </w:rPr>
        <w:t>- ilość wyprodukowanej energii w miesiącu,</w:t>
      </w:r>
    </w:p>
    <w:p w:rsidR="00B62F62" w:rsidRPr="001214CC" w:rsidRDefault="00B62F62" w:rsidP="001214CC">
      <w:pPr>
        <w:pStyle w:val="Default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1214CC">
        <w:rPr>
          <w:rFonts w:asciiTheme="majorHAnsi" w:hAnsiTheme="majorHAnsi" w:cs="Arial"/>
          <w:color w:val="auto"/>
          <w:sz w:val="22"/>
          <w:szCs w:val="22"/>
        </w:rPr>
        <w:t>- ilość wyprodukowanej energii w roku oraz całkowita</w:t>
      </w:r>
    </w:p>
    <w:p w:rsidR="00B62F62" w:rsidRPr="001214CC" w:rsidRDefault="00B62F62" w:rsidP="001214CC">
      <w:pPr>
        <w:pStyle w:val="Default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1214CC">
        <w:rPr>
          <w:rFonts w:asciiTheme="majorHAnsi" w:hAnsiTheme="majorHAnsi" w:cs="Arial"/>
          <w:color w:val="000000"/>
        </w:rPr>
        <w:t xml:space="preserve">W przypadku wystąpienia uszkodzenia modułu (-ów), topologia systemu w łatwy sposób pozwala je zlokalizować. Dane pomiarowe pozwalają na porównanie chwilowych wartości parametrów poszczególnych modułów między sobą oraz z wartościami teoretycznymi. Uszkodzenie modułu (-ów) powoduje spadek mocy, który jest sygnalizowany w systemie monitorowania poprzez pojawienie się alertu na stronie internetowej. Dzięki podłączeniu do </w:t>
      </w:r>
      <w:proofErr w:type="spellStart"/>
      <w:r w:rsidRPr="001214CC">
        <w:rPr>
          <w:rFonts w:asciiTheme="majorHAnsi" w:hAnsiTheme="majorHAnsi" w:cs="Arial"/>
          <w:color w:val="000000"/>
        </w:rPr>
        <w:t>internetu</w:t>
      </w:r>
      <w:proofErr w:type="spellEnd"/>
      <w:r w:rsidRPr="001214CC">
        <w:rPr>
          <w:rFonts w:asciiTheme="majorHAnsi" w:hAnsiTheme="majorHAnsi" w:cs="Arial"/>
          <w:color w:val="000000"/>
        </w:rPr>
        <w:t xml:space="preserve"> możliwe jest również skonfigurowanie systemu diagnostyki w taki sposób, aby wysyłał on wiadomość poprzez pocztę elektroniczną pod wskazany adres z informacją o błędzie, który pojawił się w instalacji fotowoltaicznej.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Arial,BoldItalic"/>
          <w:b/>
          <w:bCs/>
          <w:i/>
          <w:iCs/>
          <w:color w:val="000000"/>
        </w:rPr>
        <w:t>1.8 Ochrona od porażeń elektrycznych.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BoldItalic"/>
          <w:b/>
          <w:bCs/>
          <w:i/>
          <w:i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1214CC">
        <w:rPr>
          <w:rFonts w:asciiTheme="majorHAnsi" w:hAnsiTheme="majorHAnsi" w:cs="Arial"/>
          <w:color w:val="000000"/>
        </w:rPr>
        <w:t xml:space="preserve">Wykonać instalacje elektryczne, zgodne z przepisami budowlanymi w zakresie ochrony przeciwporażeniowej, wymogami normy PN-IEC-60364 „Instalacje elektryczne w obiektach </w:t>
      </w:r>
      <w:r w:rsidRPr="001214CC">
        <w:rPr>
          <w:rFonts w:asciiTheme="majorHAnsi" w:hAnsiTheme="majorHAnsi" w:cs="Arial"/>
          <w:color w:val="000000"/>
        </w:rPr>
        <w:lastRenderedPageBreak/>
        <w:t xml:space="preserve">budowlanych" oraz </w:t>
      </w:r>
      <w:proofErr w:type="spellStart"/>
      <w:r w:rsidRPr="001214CC">
        <w:rPr>
          <w:rFonts w:asciiTheme="majorHAnsi" w:hAnsiTheme="majorHAnsi" w:cs="Arial"/>
          <w:color w:val="000000"/>
        </w:rPr>
        <w:t>PN-HD</w:t>
      </w:r>
      <w:proofErr w:type="spellEnd"/>
      <w:r w:rsidRPr="001214CC">
        <w:rPr>
          <w:rFonts w:asciiTheme="majorHAnsi" w:hAnsiTheme="majorHAnsi" w:cs="Arial"/>
          <w:color w:val="000000"/>
        </w:rPr>
        <w:t xml:space="preserve"> 60364-7-712:2007 „Wymagania dotyczące specjalnych instalacji lub lokalizacji. Instalacje Fotowoltaiczne (PV) układy zasilania”.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1214CC">
        <w:rPr>
          <w:rFonts w:asciiTheme="majorHAnsi" w:hAnsiTheme="majorHAnsi" w:cs="Arial"/>
          <w:color w:val="000000"/>
        </w:rPr>
        <w:t xml:space="preserve">Jako system ochrony od porażeń prądem elektrycznym zastosowano samoczynne szybkie wyłączenie zasilania w układzie </w:t>
      </w:r>
      <w:proofErr w:type="spellStart"/>
      <w:r w:rsidRPr="001214CC">
        <w:rPr>
          <w:rFonts w:asciiTheme="majorHAnsi" w:hAnsiTheme="majorHAnsi" w:cs="Arial"/>
          <w:color w:val="000000"/>
        </w:rPr>
        <w:t>TN-S</w:t>
      </w:r>
      <w:proofErr w:type="spellEnd"/>
      <w:r w:rsidRPr="001214CC">
        <w:rPr>
          <w:rFonts w:asciiTheme="majorHAnsi" w:hAnsiTheme="majorHAnsi" w:cs="Arial"/>
          <w:color w:val="000000"/>
        </w:rPr>
        <w:t>. Po wykonaniu instalacji przeprowadzić pomiary i próby odbiorcze zarówno po stronie DC oraz stronie AC.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BoldItalic"/>
          <w:b/>
          <w:bCs/>
          <w:i/>
          <w:i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BoldItalic"/>
          <w:b/>
          <w:bCs/>
          <w:i/>
          <w:i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Arial,BoldItalic"/>
          <w:b/>
          <w:bCs/>
          <w:i/>
          <w:iCs/>
          <w:color w:val="000000"/>
        </w:rPr>
        <w:t>1.9 Ochrona przeciwprzepięciowa.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BoldItalic"/>
          <w:b/>
          <w:bCs/>
          <w:i/>
          <w:i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1214CC">
        <w:rPr>
          <w:rFonts w:asciiTheme="majorHAnsi" w:hAnsiTheme="majorHAnsi" w:cs="Arial"/>
          <w:color w:val="000000"/>
        </w:rPr>
        <w:t>Przed inwerterem (po stronie zasilania z generatora PV) instalować ochronniki przepięciowe kombinowane typu I + II (wyposażone w iskierniki gazowy) dedykowane instalacjom fotowoltaicznym.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1214CC">
        <w:rPr>
          <w:rFonts w:asciiTheme="majorHAnsi" w:hAnsiTheme="majorHAnsi" w:cs="Arial"/>
          <w:color w:val="000000"/>
        </w:rPr>
        <w:t xml:space="preserve">W przypadku przekroczenia 10 m długości kabli pomiędzy RPV DC a inwerterem należy zastosować drugi ogranicznik przepięć typu II i zamontować go w rozdzielnicy RPV DC2. 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1214CC">
        <w:rPr>
          <w:rFonts w:asciiTheme="majorHAnsi" w:hAnsiTheme="majorHAnsi" w:cs="Arial"/>
          <w:color w:val="000000"/>
        </w:rPr>
        <w:t>W przypadku zastosowania podwojonej ochrony przepięciowej należy tak umieścić rozdzielnice, aby RPV DC znajdowała się jak najbliżej modułów fotowoltaicznych, natomiast rozdzielnica RPV DC2 powinna znajdować się jak najbliżej inwertera.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1214CC">
        <w:rPr>
          <w:rFonts w:asciiTheme="majorHAnsi" w:hAnsiTheme="majorHAnsi" w:cs="Arial"/>
          <w:color w:val="000000"/>
        </w:rPr>
        <w:t>Rozdzielnicę RPV AC wyposażyć w ogranicznik przepięć typ I + II.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1214CC">
        <w:rPr>
          <w:rFonts w:asciiTheme="majorHAnsi" w:hAnsiTheme="majorHAnsi" w:cs="Arial"/>
          <w:color w:val="000000"/>
        </w:rPr>
        <w:t>W przypadku przekroczenia 10 m długości kabli pomiędzy RPV AC a RG należy zastosować drugi ogranicznik przepięć typu II i zamontować go w rozdzielnicy RG. Jeżeli w rozdzielnicy RG nie ma wolnego pola należy zamontować rozdzielnicę RPV AC2 przeznaczoną dla tego zabezpieczenia.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1214CC">
        <w:rPr>
          <w:rFonts w:asciiTheme="majorHAnsi" w:hAnsiTheme="majorHAnsi" w:cs="Arial"/>
          <w:color w:val="000000"/>
        </w:rPr>
        <w:t>W przypadku zastosowania podwojonej ochrony przepięciowej należy tak umieścić rozdzielnice, aby RPV AC znajdowała się jak najbliżej inwertera, natomiast rozdzielnica RPV AC2 powinna znajdować się jak najbliżej rozdzielnicy RG.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1214CC">
        <w:rPr>
          <w:rFonts w:asciiTheme="majorHAnsi" w:hAnsiTheme="majorHAnsi" w:cs="Arial"/>
          <w:color w:val="000000"/>
        </w:rPr>
        <w:t xml:space="preserve">Wszystkie zastosowane ograniczniki przepięć należy bezwzględnie uziemić przewodem </w:t>
      </w:r>
      <w:proofErr w:type="spellStart"/>
      <w:r w:rsidRPr="001214CC">
        <w:rPr>
          <w:rFonts w:asciiTheme="majorHAnsi" w:hAnsiTheme="majorHAnsi" w:cs="Arial"/>
          <w:color w:val="000000"/>
        </w:rPr>
        <w:t>LgY</w:t>
      </w:r>
      <w:proofErr w:type="spellEnd"/>
      <w:r w:rsidRPr="001214CC">
        <w:rPr>
          <w:rFonts w:asciiTheme="majorHAnsi" w:hAnsiTheme="majorHAnsi" w:cs="Arial"/>
          <w:color w:val="000000"/>
        </w:rPr>
        <w:t xml:space="preserve"> o polu przekroju poprzecznego co najmniej 16mm</w:t>
      </w:r>
      <w:r w:rsidRPr="001214CC">
        <w:rPr>
          <w:rFonts w:asciiTheme="majorHAnsi" w:hAnsiTheme="majorHAnsi" w:cs="Arial"/>
          <w:color w:val="000000"/>
          <w:vertAlign w:val="superscript"/>
        </w:rPr>
        <w:t xml:space="preserve">2 </w:t>
      </w:r>
      <w:r w:rsidRPr="001214CC">
        <w:rPr>
          <w:rFonts w:asciiTheme="majorHAnsi" w:hAnsiTheme="majorHAnsi" w:cs="Arial"/>
          <w:color w:val="000000"/>
        </w:rPr>
        <w:t xml:space="preserve">w żółto-zielonej izolacji. Ograniczniki przepięć DC należy uziemić do osobnego punktu </w:t>
      </w:r>
      <w:proofErr w:type="spellStart"/>
      <w:r w:rsidRPr="001214CC">
        <w:rPr>
          <w:rFonts w:asciiTheme="majorHAnsi" w:hAnsiTheme="majorHAnsi" w:cs="Arial"/>
          <w:color w:val="000000"/>
        </w:rPr>
        <w:t>uziemieniowego</w:t>
      </w:r>
      <w:proofErr w:type="spellEnd"/>
      <w:r w:rsidRPr="001214CC">
        <w:rPr>
          <w:rFonts w:asciiTheme="majorHAnsi" w:hAnsiTheme="majorHAnsi" w:cs="Arial"/>
          <w:color w:val="000000"/>
        </w:rPr>
        <w:t xml:space="preserve"> o rezystancji R&lt;10Ω, natomiast ogranicznik przepięć AC powinien być połączony z główną szyną uziemiającą budynku, aby zabezpieczyć instalację przed skutkami </w:t>
      </w:r>
      <w:proofErr w:type="spellStart"/>
      <w:r w:rsidRPr="001214CC">
        <w:rPr>
          <w:rFonts w:asciiTheme="majorHAnsi" w:hAnsiTheme="majorHAnsi" w:cs="Arial"/>
          <w:color w:val="000000"/>
        </w:rPr>
        <w:t>wyładawań</w:t>
      </w:r>
      <w:proofErr w:type="spellEnd"/>
      <w:r w:rsidRPr="001214CC">
        <w:rPr>
          <w:rFonts w:asciiTheme="majorHAnsi" w:hAnsiTheme="majorHAnsi" w:cs="Arial"/>
          <w:color w:val="000000"/>
        </w:rPr>
        <w:t xml:space="preserve"> pojawiających się w okolicy.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BoldItalic"/>
          <w:b/>
          <w:bCs/>
          <w:i/>
          <w:iCs/>
          <w:color w:val="000000"/>
        </w:rPr>
      </w:pPr>
      <w:r w:rsidRPr="001214CC">
        <w:rPr>
          <w:rFonts w:asciiTheme="majorHAnsi" w:hAnsiTheme="majorHAnsi" w:cs="Arial,BoldItalic"/>
          <w:b/>
          <w:bCs/>
          <w:i/>
          <w:iCs/>
          <w:color w:val="000000"/>
        </w:rPr>
        <w:t>1.10 Instalacja wyrównawcza</w:t>
      </w: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BoldItalic"/>
          <w:b/>
          <w:bCs/>
          <w:i/>
          <w:iCs/>
          <w:color w:val="000000"/>
        </w:rPr>
      </w:pPr>
    </w:p>
    <w:p w:rsidR="00B62F62" w:rsidRPr="001214CC" w:rsidRDefault="00B62F62" w:rsidP="001214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1214CC">
        <w:rPr>
          <w:rFonts w:asciiTheme="majorHAnsi" w:hAnsiTheme="majorHAnsi" w:cs="Arial"/>
          <w:color w:val="000000"/>
        </w:rPr>
        <w:t xml:space="preserve">Konstrukcje paneli oraz korytka metalowe podłączyć do punktu </w:t>
      </w:r>
      <w:proofErr w:type="spellStart"/>
      <w:r w:rsidRPr="001214CC">
        <w:rPr>
          <w:rFonts w:asciiTheme="majorHAnsi" w:hAnsiTheme="majorHAnsi" w:cs="Arial"/>
          <w:color w:val="000000"/>
        </w:rPr>
        <w:t>uziemieniowego</w:t>
      </w:r>
      <w:proofErr w:type="spellEnd"/>
      <w:r w:rsidRPr="001214CC">
        <w:rPr>
          <w:rFonts w:asciiTheme="majorHAnsi" w:hAnsiTheme="majorHAnsi" w:cs="Arial"/>
          <w:color w:val="000000"/>
        </w:rPr>
        <w:t xml:space="preserve"> o rezystancji R&lt;10Ω przewodami </w:t>
      </w:r>
      <w:proofErr w:type="spellStart"/>
      <w:r w:rsidRPr="001214CC">
        <w:rPr>
          <w:rFonts w:asciiTheme="majorHAnsi" w:hAnsiTheme="majorHAnsi" w:cs="Arial"/>
          <w:color w:val="000000"/>
        </w:rPr>
        <w:t>LgY</w:t>
      </w:r>
      <w:proofErr w:type="spellEnd"/>
      <w:r w:rsidRPr="001214CC">
        <w:rPr>
          <w:rFonts w:asciiTheme="majorHAnsi" w:hAnsiTheme="majorHAnsi" w:cs="Arial"/>
          <w:color w:val="000000"/>
        </w:rPr>
        <w:t xml:space="preserve"> o polu przekroju poprzecznego co najmniej 6 mm</w:t>
      </w:r>
      <w:r w:rsidRPr="001214CC">
        <w:rPr>
          <w:rFonts w:asciiTheme="majorHAnsi" w:hAnsiTheme="majorHAnsi" w:cs="Arial"/>
          <w:color w:val="000000"/>
          <w:vertAlign w:val="superscript"/>
        </w:rPr>
        <w:t>2</w:t>
      </w:r>
      <w:r w:rsidRPr="001214CC">
        <w:rPr>
          <w:rFonts w:asciiTheme="majorHAnsi" w:hAnsiTheme="majorHAnsi" w:cs="Arial"/>
          <w:color w:val="000000"/>
        </w:rPr>
        <w:t xml:space="preserve"> w żółto-zielonej izolacji.</w:t>
      </w:r>
    </w:p>
    <w:p w:rsidR="00542E88" w:rsidRPr="001214CC" w:rsidRDefault="00542E88" w:rsidP="001214CC">
      <w:pPr>
        <w:jc w:val="both"/>
        <w:rPr>
          <w:rFonts w:asciiTheme="majorHAnsi" w:hAnsiTheme="majorHAnsi"/>
        </w:rPr>
      </w:pPr>
    </w:p>
    <w:sectPr w:rsidR="00542E88" w:rsidRPr="001214CC" w:rsidSect="00D1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62F62"/>
    <w:rsid w:val="001214CC"/>
    <w:rsid w:val="00542E88"/>
    <w:rsid w:val="00A459C5"/>
    <w:rsid w:val="00B62F62"/>
    <w:rsid w:val="00D1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F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2F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1820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Kubiaczyk</dc:creator>
  <cp:lastModifiedBy>user</cp:lastModifiedBy>
  <cp:revision>2</cp:revision>
  <dcterms:created xsi:type="dcterms:W3CDTF">2021-09-16T09:28:00Z</dcterms:created>
  <dcterms:modified xsi:type="dcterms:W3CDTF">2021-09-16T09:28:00Z</dcterms:modified>
</cp:coreProperties>
</file>